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F" w:rsidRPr="00405B4F" w:rsidRDefault="00405B4F" w:rsidP="00405B4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D0000"/>
          <w:sz w:val="43"/>
          <w:szCs w:val="43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4D0000"/>
          <w:sz w:val="43"/>
          <w:lang w:eastAsia="ru-RU"/>
        </w:rPr>
        <w:fldChar w:fldCharType="begin"/>
      </w:r>
      <w:r w:rsidRPr="00405B4F">
        <w:rPr>
          <w:rFonts w:ascii="Arial" w:eastAsia="Times New Roman" w:hAnsi="Arial" w:cs="Arial"/>
          <w:b/>
          <w:bCs/>
          <w:color w:val="4D0000"/>
          <w:sz w:val="43"/>
          <w:lang w:eastAsia="ru-RU"/>
        </w:rPr>
        <w:instrText xml:space="preserve"> HYPERLINK "http://www.psmetodiki.ru/index.php/vzroslye/lichnost/142-metodika-diagnostiki-psikhicheskoj-aktivatsii-interesa-emotsionalnogo-tonusa-napryazheniya-i-komfortnosti-kurganskij-nemchin" </w:instrText>
      </w:r>
      <w:r w:rsidRPr="00405B4F">
        <w:rPr>
          <w:rFonts w:ascii="Arial" w:eastAsia="Times New Roman" w:hAnsi="Arial" w:cs="Arial"/>
          <w:b/>
          <w:bCs/>
          <w:color w:val="4D0000"/>
          <w:sz w:val="43"/>
          <w:lang w:eastAsia="ru-RU"/>
        </w:rPr>
        <w:fldChar w:fldCharType="separate"/>
      </w:r>
      <w:r w:rsidRPr="00405B4F">
        <w:rPr>
          <w:rFonts w:ascii="Arial" w:eastAsia="Times New Roman" w:hAnsi="Arial" w:cs="Arial"/>
          <w:b/>
          <w:bCs/>
          <w:color w:val="4D0000"/>
          <w:sz w:val="37"/>
          <w:lang w:eastAsia="ru-RU"/>
        </w:rPr>
        <w:t>Методика диагностики психической активации, интереса, эмоционального тонуса, напряжения и комфортности (</w:t>
      </w:r>
      <w:proofErr w:type="spellStart"/>
      <w:proofErr w:type="gramStart"/>
      <w:r w:rsidRPr="00405B4F">
        <w:rPr>
          <w:rFonts w:ascii="Arial" w:eastAsia="Times New Roman" w:hAnsi="Arial" w:cs="Arial"/>
          <w:b/>
          <w:bCs/>
          <w:color w:val="4D0000"/>
          <w:sz w:val="37"/>
          <w:lang w:eastAsia="ru-RU"/>
        </w:rPr>
        <w:t>Курганский-Немчин</w:t>
      </w:r>
      <w:proofErr w:type="spellEnd"/>
      <w:proofErr w:type="gramEnd"/>
      <w:r w:rsidRPr="00405B4F">
        <w:rPr>
          <w:rFonts w:ascii="Arial" w:eastAsia="Times New Roman" w:hAnsi="Arial" w:cs="Arial"/>
          <w:b/>
          <w:bCs/>
          <w:color w:val="4D0000"/>
          <w:sz w:val="37"/>
          <w:lang w:eastAsia="ru-RU"/>
        </w:rPr>
        <w:t>)</w:t>
      </w:r>
      <w:r w:rsidRPr="00405B4F">
        <w:rPr>
          <w:rFonts w:ascii="Arial" w:eastAsia="Times New Roman" w:hAnsi="Arial" w:cs="Arial"/>
          <w:b/>
          <w:bCs/>
          <w:color w:val="4D0000"/>
          <w:sz w:val="43"/>
          <w:lang w:eastAsia="ru-RU"/>
        </w:rPr>
        <w:fldChar w:fldCharType="end"/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Источник: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Барканова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О.В. (сост.) Методики диагностики эмоциональной сферы: психологический практикум</w:t>
      </w:r>
      <w:proofErr w:type="gram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.</w:t>
      </w:r>
      <w:proofErr w:type="gram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[</w:t>
      </w:r>
      <w:proofErr w:type="gram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</w:t>
      </w:r>
      <w:proofErr w:type="gram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ерия: </w:t>
      </w:r>
      <w:proofErr w:type="gram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Библиотека актуальной психологии].</w:t>
      </w:r>
      <w:proofErr w:type="gram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– 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Вып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. 2 – Красноярск: 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Литера-принт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, 2009. — 237 с.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Возраст: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методика предназначена для людей старше 14 лет без ограничений по образовательным, социальным и профессиональным признакам и рассчитана на неоднократное обследование одних и тех же лиц, учитывая динамичность психических состояний. Значимые данные по процедуре разработке и стандартизации методики отсутствуют.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Назначение: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 методика разработана на факультете психологии Ленинградского государственного университета Л.А. Курганским и Т.А. Немчиным (1990) и предназначена для определения особенностей психического состояния человека по показателям психической активации, интереса, эмоционального тонуса, напряжения и комфортности. Под психическим состоянием авторы понимают целостную картину психического функционирования в ограниченный промежуток времени. 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Представленность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этого функционирования в сознании индивида реализуется в самооценке состояния, во многих случаях определяющей традиционные названия психических состояний.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Методика разработана на основе результатов факторного анализа с использованием модифицированного 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стимульного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материала к методике САН (представляет собой аналог (модификацию) </w:t>
      </w:r>
      <w:proofErr w:type="spell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опросника</w:t>
      </w:r>
      <w:proofErr w:type="spell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САН). Испытуемому представлен перечень из 20 полярных состояний, которые он должен оценить относительно себя по рейтинговой шкале. Ответы методики обрабатываются по ключам, по результатам обработки делается вывод о степени выраженности каждого психического состояния (психической активации, интереса, эмоционального тонуса, напряжения и комфортности). Испытуемый может набрать по каждой шкале от 3 до 21 балла. Анализ полученных результатов проводится путем сопоставления измеренных пяти состояний между собой, а также полученных результатов с данными других исследований.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Инструкция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: 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Оцените свое психическое состояние в данный момент по каждому из признаков, указанных на бланке. Обведите кружком 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lastRenderedPageBreak/>
        <w:t>соответствующую цифру от 0 до 3 в левой или в правой половине каждой строки в зависимости от выраженности признака.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 xml:space="preserve"> Бланк </w:t>
      </w:r>
      <w:proofErr w:type="spellStart"/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опросника</w:t>
      </w:r>
      <w:proofErr w:type="spellEnd"/>
    </w:p>
    <w:tbl>
      <w:tblPr>
        <w:tblW w:w="0" w:type="auto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3055"/>
        <w:gridCol w:w="435"/>
        <w:gridCol w:w="435"/>
        <w:gridCol w:w="435"/>
        <w:gridCol w:w="435"/>
        <w:gridCol w:w="435"/>
        <w:gridCol w:w="435"/>
        <w:gridCol w:w="435"/>
        <w:gridCol w:w="2818"/>
      </w:tblGrid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самочувствие хорошее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самочувствие плохое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активный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пассивный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рассеянный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внимательный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радостный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грустный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усталый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отдохнувший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беззаботный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озабоченный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медлительный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быстрый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сосредоточенный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отвлекающийся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плохое настроение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хорошее настроение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бодрый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вялый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спокойный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раздраженный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желание отдохнуть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желание работать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полный</w:t>
            </w:r>
            <w:proofErr w:type="gramEnd"/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сил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обессиленный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соображать трудно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соображать легко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безучастный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увлеченный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напряженный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расслабленный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выносливый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утомленный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равнодушный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взволнованный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возбужденный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сонливый</w:t>
            </w:r>
          </w:p>
        </w:tc>
      </w:tr>
      <w:tr w:rsidR="00405B4F" w:rsidRPr="00405B4F" w:rsidTr="00405B4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довольный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недовольный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Обработка и интерпретация результатов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Обработка результатов проводится с помощью ключей для оценки конкретных психических состояний. В ключах в первой колонке находится номер признака (порядковый номер состояния в бланке), далее – рейтинговая шкала из бланка и присуждаемое за каждый ответ количество баллов. Например, признак № 5 – это состояния «усталый – отдохнувший». </w:t>
      </w:r>
      <w:proofErr w:type="gram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Если испытуемый оценил свое состояние в 3 балла ближе к полюсу «усталый», то получает оценку в 7 баллов, если в 2 балла – то 6 и т. д. Если он, напротив, оценил свое состояние ближе к полюсу «отдохнувший» в 3 балла, то ответу присуждается 1 балл, если в 2 балла – то 2 и т. д.</w:t>
      </w:r>
      <w:proofErr w:type="gramEnd"/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 Оценка психической активации:</w:t>
      </w:r>
      <w:r w:rsidRPr="00405B4F">
        <w:rPr>
          <w:rFonts w:ascii="Arial" w:eastAsia="Times New Roman" w:hAnsi="Arial" w:cs="Arial"/>
          <w:b/>
          <w:bCs/>
          <w:color w:val="292929"/>
          <w:sz w:val="28"/>
          <w:szCs w:val="28"/>
          <w:lang w:eastAsia="ru-RU"/>
        </w:rPr>
        <w:br/>
      </w: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Ключи: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127"/>
        <w:gridCol w:w="1124"/>
        <w:gridCol w:w="1121"/>
        <w:gridCol w:w="1119"/>
        <w:gridCol w:w="1117"/>
        <w:gridCol w:w="1115"/>
        <w:gridCol w:w="1122"/>
      </w:tblGrid>
      <w:tr w:rsidR="00405B4F" w:rsidRPr="00405B4F" w:rsidTr="00405B4F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признака</w:t>
            </w:r>
          </w:p>
        </w:tc>
        <w:tc>
          <w:tcPr>
            <w:tcW w:w="12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Баллы, присуждаемые за ответы в бланке</w:t>
            </w:r>
          </w:p>
        </w:tc>
      </w:tr>
      <w:tr w:rsidR="00405B4F" w:rsidRPr="00405B4F" w:rsidTr="00405B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B4F" w:rsidRPr="00405B4F" w:rsidRDefault="00405B4F" w:rsidP="0040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Оценка интереса: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127"/>
        <w:gridCol w:w="1124"/>
        <w:gridCol w:w="1121"/>
        <w:gridCol w:w="1119"/>
        <w:gridCol w:w="1117"/>
        <w:gridCol w:w="1115"/>
        <w:gridCol w:w="1122"/>
      </w:tblGrid>
      <w:tr w:rsidR="00405B4F" w:rsidRPr="00405B4F" w:rsidTr="00405B4F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признака</w:t>
            </w:r>
          </w:p>
        </w:tc>
        <w:tc>
          <w:tcPr>
            <w:tcW w:w="12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Баллы, присуждаемые за ответы в бланке</w:t>
            </w:r>
          </w:p>
        </w:tc>
      </w:tr>
      <w:tr w:rsidR="00405B4F" w:rsidRPr="00405B4F" w:rsidTr="00405B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B4F" w:rsidRPr="00405B4F" w:rsidRDefault="00405B4F" w:rsidP="0040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br/>
      </w: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Оценка эмоционального тонуса: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127"/>
        <w:gridCol w:w="1124"/>
        <w:gridCol w:w="1121"/>
        <w:gridCol w:w="1119"/>
        <w:gridCol w:w="1117"/>
        <w:gridCol w:w="1115"/>
        <w:gridCol w:w="1122"/>
      </w:tblGrid>
      <w:tr w:rsidR="00405B4F" w:rsidRPr="00405B4F" w:rsidTr="00405B4F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признака</w:t>
            </w:r>
          </w:p>
        </w:tc>
        <w:tc>
          <w:tcPr>
            <w:tcW w:w="12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Баллы, присуждаемые за ответы в бланке</w:t>
            </w:r>
          </w:p>
        </w:tc>
      </w:tr>
      <w:tr w:rsidR="00405B4F" w:rsidRPr="00405B4F" w:rsidTr="00405B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B4F" w:rsidRPr="00405B4F" w:rsidRDefault="00405B4F" w:rsidP="0040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 Оценка напряжения: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127"/>
        <w:gridCol w:w="1124"/>
        <w:gridCol w:w="1121"/>
        <w:gridCol w:w="1119"/>
        <w:gridCol w:w="1117"/>
        <w:gridCol w:w="1115"/>
        <w:gridCol w:w="1122"/>
      </w:tblGrid>
      <w:tr w:rsidR="00405B4F" w:rsidRPr="00405B4F" w:rsidTr="00405B4F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признака</w:t>
            </w:r>
          </w:p>
        </w:tc>
        <w:tc>
          <w:tcPr>
            <w:tcW w:w="12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Баллы, присуждаемые за ответы в бланке</w:t>
            </w:r>
          </w:p>
        </w:tc>
      </w:tr>
      <w:tr w:rsidR="00405B4F" w:rsidRPr="00405B4F" w:rsidTr="00405B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B4F" w:rsidRPr="00405B4F" w:rsidRDefault="00405B4F" w:rsidP="0040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 Оценка комфортности: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127"/>
        <w:gridCol w:w="1124"/>
        <w:gridCol w:w="1121"/>
        <w:gridCol w:w="1119"/>
        <w:gridCol w:w="1117"/>
        <w:gridCol w:w="1115"/>
        <w:gridCol w:w="1122"/>
      </w:tblGrid>
      <w:tr w:rsidR="00405B4F" w:rsidRPr="00405B4F" w:rsidTr="00405B4F">
        <w:trPr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признака</w:t>
            </w:r>
          </w:p>
        </w:tc>
        <w:tc>
          <w:tcPr>
            <w:tcW w:w="12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Баллы, присуждаемые за ответы в бланке</w:t>
            </w:r>
          </w:p>
        </w:tc>
      </w:tr>
      <w:tr w:rsidR="00405B4F" w:rsidRPr="00405B4F" w:rsidTr="00405B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B4F" w:rsidRPr="00405B4F" w:rsidRDefault="00405B4F" w:rsidP="00405B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3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405B4F" w:rsidRPr="00405B4F" w:rsidTr="00405B4F">
        <w:trPr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Баллы, набранные испытуемым,  суммируются по каждой шкале. Полученные таким образом данные заносятся в протокол исследования: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b/>
          <w:bCs/>
          <w:color w:val="292929"/>
          <w:sz w:val="28"/>
          <w:lang w:eastAsia="ru-RU"/>
        </w:rPr>
        <w:t> Бланк протокола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2"/>
        <w:gridCol w:w="2187"/>
        <w:gridCol w:w="3711"/>
      </w:tblGrid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Психическое состояние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Оценка, баллы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Степень выраженности</w:t>
            </w:r>
          </w:p>
        </w:tc>
      </w:tr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Психическая активация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Интерес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Эмоциональный тонус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Напряжение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405B4F" w:rsidRPr="00405B4F" w:rsidTr="00405B4F">
        <w:trPr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Комфортность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405B4F" w:rsidRPr="00405B4F" w:rsidRDefault="00405B4F" w:rsidP="00405B4F">
            <w:pPr>
              <w:spacing w:before="258" w:after="25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05B4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</w:tbl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 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Степени выраженности каждого психического состояния обозначаются как 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«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высокая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», «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средняя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» 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и 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«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низкая</w:t>
      </w:r>
      <w:r w:rsidRPr="00405B4F">
        <w:rPr>
          <w:rFonts w:ascii="Arial" w:eastAsia="Times New Roman" w:hAnsi="Arial" w:cs="Arial"/>
          <w:i/>
          <w:iCs/>
          <w:color w:val="292929"/>
          <w:sz w:val="28"/>
          <w:lang w:eastAsia="ru-RU"/>
        </w:rPr>
        <w:t>»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. Испытуемый может набрать по каждой шкале от 3 до 21 балла. При этом высокая степень психической активации, интереса, эмоционального тонуса и комфортности располагается в пределах от 3 до 8 баллов, средняя − от 9 до 15 баллов, низкая − от 16 до 21 балла. Степень выраженности напряжения, напротив, является высокой при количестве набранных баллов от 16 до 21, средней − при 9-15 баллах, низкой − при 3-8 баллах.</w:t>
      </w:r>
    </w:p>
    <w:p w:rsidR="00405B4F" w:rsidRPr="00405B4F" w:rsidRDefault="00405B4F" w:rsidP="00405B4F">
      <w:pPr>
        <w:shd w:val="clear" w:color="auto" w:fill="FFFFFF"/>
        <w:spacing w:before="258" w:after="258" w:line="240" w:lineRule="auto"/>
        <w:jc w:val="both"/>
        <w:rPr>
          <w:rFonts w:ascii="Arial" w:eastAsia="Times New Roman" w:hAnsi="Arial" w:cs="Arial"/>
          <w:color w:val="292929"/>
          <w:sz w:val="28"/>
          <w:szCs w:val="28"/>
          <w:lang w:eastAsia="ru-RU"/>
        </w:rPr>
      </w:pP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Анализ полученных результатов проводится путем сопоставления пяти состояний между собой, а также сопоставления результатов с </w:t>
      </w:r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lastRenderedPageBreak/>
        <w:t>данными других исследований (анамнестических, психофизиологических, экспериментальн</w:t>
      </w:r>
      <w:proofErr w:type="gramStart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>о-</w:t>
      </w:r>
      <w:proofErr w:type="gramEnd"/>
      <w:r w:rsidRPr="00405B4F">
        <w:rPr>
          <w:rFonts w:ascii="Arial" w:eastAsia="Times New Roman" w:hAnsi="Arial" w:cs="Arial"/>
          <w:color w:val="292929"/>
          <w:sz w:val="28"/>
          <w:szCs w:val="28"/>
          <w:lang w:eastAsia="ru-RU"/>
        </w:rPr>
        <w:t xml:space="preserve"> психологических и др.). Это сопоставление имеет конечной целью выяснить структурно-динамические, пространственные и временные, системные и другие характеристики и закономерности психических состояний человека в соответствии с конкретными задачами обследования.</w:t>
      </w:r>
    </w:p>
    <w:p w:rsidR="001F6358" w:rsidRDefault="001F6358"/>
    <w:sectPr w:rsidR="001F6358" w:rsidSect="001F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05B4F"/>
    <w:rsid w:val="001F6358"/>
    <w:rsid w:val="0040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58"/>
  </w:style>
  <w:style w:type="paragraph" w:styleId="2">
    <w:name w:val="heading 2"/>
    <w:basedOn w:val="a"/>
    <w:link w:val="20"/>
    <w:uiPriority w:val="9"/>
    <w:qFormat/>
    <w:rsid w:val="00405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405B4F"/>
  </w:style>
  <w:style w:type="character" w:styleId="a3">
    <w:name w:val="Hyperlink"/>
    <w:basedOn w:val="a0"/>
    <w:uiPriority w:val="99"/>
    <w:semiHidden/>
    <w:unhideWhenUsed/>
    <w:rsid w:val="00405B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B4F"/>
    <w:rPr>
      <w:b/>
      <w:bCs/>
    </w:rPr>
  </w:style>
  <w:style w:type="character" w:styleId="a6">
    <w:name w:val="Emphasis"/>
    <w:basedOn w:val="a0"/>
    <w:uiPriority w:val="20"/>
    <w:qFormat/>
    <w:rsid w:val="00405B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2018-12-06T09:38:00Z</dcterms:created>
  <dcterms:modified xsi:type="dcterms:W3CDTF">2018-12-06T09:38:00Z</dcterms:modified>
</cp:coreProperties>
</file>